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33" w:lineRule="auto" w:before="79"/>
        <w:ind w:left="228" w:right="8124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10.360001pt;margin-top:15.054075pt;width:333pt;height:.1pt;mso-position-horizontal-relative:page;mso-position-vertical-relative:paragraph;z-index:0" coordorigin="4207,301" coordsize="6660,2">
            <v:shape style="position:absolute;left:4207;top:301;width:6660;height:2" coordorigin="4207,301" coordsize="6660,0" path="m4207,301l10867,301e" filled="false" stroked="true" strokeweight=".47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10.360001pt;margin-top:27.774075pt;width:333pt;height:.1pt;mso-position-horizontal-relative:page;mso-position-vertical-relative:paragraph;z-index:1048" coordorigin="4207,555" coordsize="6660,2">
            <v:shape style="position:absolute;left:4207;top:555;width:6660;height:2" coordorigin="4207,555" coordsize="6660,0" path="m4207,555l10867,555e" filled="false" stroked="true" strokeweight=".47998pt" strokecolor="#000000">
              <v:path arrowok="t"/>
            </v:shape>
            <w10:wrap type="none"/>
          </v:group>
        </w:pict>
      </w:r>
      <w:r>
        <w:rPr>
          <w:rFonts w:ascii="Arial"/>
          <w:sz w:val="16"/>
        </w:rPr>
        <w:t>Business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Name:</w:t>
      </w:r>
      <w:r>
        <w:rPr>
          <w:rFonts w:ascii="Arial"/>
          <w:w w:val="99"/>
          <w:sz w:val="16"/>
        </w:rPr>
        <w:t> </w:t>
      </w:r>
      <w:r>
        <w:rPr>
          <w:rFonts w:ascii="Arial"/>
          <w:sz w:val="16"/>
        </w:rPr>
        <w:t>Business</w:t>
      </w:r>
      <w:r>
        <w:rPr>
          <w:rFonts w:ascii="Arial"/>
          <w:spacing w:val="-4"/>
          <w:sz w:val="16"/>
        </w:rPr>
        <w:t> </w:t>
      </w:r>
      <w:r>
        <w:rPr>
          <w:rFonts w:ascii="Arial"/>
          <w:sz w:val="16"/>
        </w:rPr>
        <w:t>Address:</w:t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3420"/>
        <w:gridCol w:w="1350"/>
        <w:gridCol w:w="1350"/>
        <w:gridCol w:w="1350"/>
        <w:gridCol w:w="1350"/>
      </w:tblGrid>
      <w:tr>
        <w:trPr>
          <w:trHeight w:val="227" w:hRule="exact"/>
        </w:trPr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14"/>
              <w:ind w:left="26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Pro-Forma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1: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2: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Year</w:t>
            </w:r>
            <w:r>
              <w:rPr>
                <w:rFonts w:ascii="Arial"/>
                <w:b/>
                <w:color w:val="FFFFFF"/>
                <w:spacing w:val="-2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3: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9434" w:type="dxa"/>
            <w:gridSpan w:val="6"/>
            <w:tcBorders>
              <w:top w:val="single" w:sz="18" w:space="0" w:color="000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8"/>
              </w:rPr>
              <w:t>A</w:t>
            </w:r>
            <w:r>
              <w:rPr>
                <w:rFonts w:ascii="Arial"/>
                <w:b/>
                <w:color w:val="FFFFFF"/>
                <w:sz w:val="14"/>
              </w:rPr>
              <w:t>SSETS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Current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Cash on hands in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banks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Time deposits and short-term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investments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Accounts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Receivable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(Less: Allowance for doubtful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accounts)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Inventories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Prepayments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8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Net Total of Current</w:t>
            </w:r>
            <w:r>
              <w:rPr>
                <w:rFonts w:ascii="Arial"/>
                <w:b/>
                <w:spacing w:val="-17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Fixed</w:t>
            </w:r>
            <w:r>
              <w:rPr>
                <w:rFonts w:ascii="Arial"/>
                <w:b/>
                <w:spacing w:val="-10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Land</w:t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7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Buildings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Furniture and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equipment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(Less: Accumulated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depreciation)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Net Total of Fixed</w:t>
            </w:r>
            <w:r>
              <w:rPr>
                <w:rFonts w:ascii="Arial"/>
                <w:b/>
                <w:spacing w:val="-14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>
              <w:pStyle w:val="TableParagraph"/>
              <w:spacing w:line="247" w:lineRule="auto" w:before="114"/>
              <w:ind w:left="241" w:right="272" w:firstLine="4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Other</w:t>
            </w:r>
            <w:r>
              <w:rPr>
                <w:rFonts w:ascii="Arial"/>
                <w:b/>
                <w:spacing w:val="-1"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8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8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Net Total of Other</w:t>
            </w:r>
            <w:r>
              <w:rPr>
                <w:rFonts w:ascii="Arial"/>
                <w:b/>
                <w:spacing w:val="-1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8" w:hRule="exact"/>
        </w:trPr>
        <w:tc>
          <w:tcPr>
            <w:tcW w:w="4034" w:type="dxa"/>
            <w:gridSpan w:val="2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69" w:hRule="exact"/>
        </w:trPr>
        <w:tc>
          <w:tcPr>
            <w:tcW w:w="9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000"/>
          </w:tcPr>
          <w:p>
            <w:pPr>
              <w:pStyle w:val="TableParagraph"/>
              <w:spacing w:line="240" w:lineRule="auto" w:before="73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b/>
                <w:color w:val="FFFFFF"/>
                <w:sz w:val="18"/>
              </w:rPr>
              <w:t>L</w:t>
            </w:r>
            <w:r>
              <w:rPr>
                <w:rFonts w:ascii="Arial"/>
                <w:b/>
                <w:color w:val="FFFFFF"/>
                <w:sz w:val="14"/>
              </w:rPr>
              <w:t>IABILITIES AND</w:t>
            </w:r>
            <w:r>
              <w:rPr>
                <w:rFonts w:ascii="Arial"/>
                <w:b/>
                <w:color w:val="FFFFFF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FFFFFF"/>
                <w:sz w:val="18"/>
              </w:rPr>
              <w:t>E</w:t>
            </w:r>
            <w:r>
              <w:rPr>
                <w:rFonts w:ascii="Arial"/>
                <w:b/>
                <w:color w:val="FFFFFF"/>
                <w:sz w:val="14"/>
              </w:rPr>
              <w:t>QUITIES</w:t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Current</w:t>
            </w:r>
            <w:r>
              <w:rPr>
                <w:rFonts w:ascii="Arial"/>
                <w:b/>
                <w:spacing w:val="-3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Accounts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Payable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Notes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Payable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Current Portion of Long-Term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Liabilities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Customer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Deposits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Taxes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Payable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Interest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Payable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80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CC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7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Current</w:t>
            </w:r>
            <w:r>
              <w:rPr>
                <w:rFonts w:ascii="Arial"/>
                <w:b/>
                <w:spacing w:val="-21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>
              <w:pStyle w:val="TableParagraph"/>
              <w:spacing w:line="247" w:lineRule="auto" w:before="114"/>
              <w:ind w:left="265" w:right="247" w:hanging="4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Long-Term</w:t>
            </w:r>
            <w:r>
              <w:rPr>
                <w:rFonts w:ascii="Arial"/>
                <w:b/>
                <w:spacing w:val="-1"/>
                <w:w w:val="9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Long-Term Debts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(Loans)</w:t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7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CC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8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FFFF9A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Long-Term</w:t>
            </w:r>
            <w:r>
              <w:rPr>
                <w:rFonts w:ascii="Arial"/>
                <w:b/>
                <w:spacing w:val="-19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CCFFFF"/>
              <w:right w:val="single" w:sz="4" w:space="0" w:color="000000"/>
            </w:tcBorders>
            <w:shd w:val="clear" w:color="auto" w:fill="FFFF9A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45" w:hRule="exact"/>
        </w:trPr>
        <w:tc>
          <w:tcPr>
            <w:tcW w:w="4034" w:type="dxa"/>
            <w:gridSpan w:val="2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9"/>
              <w:ind w:left="7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Sub-Total</w:t>
            </w:r>
            <w:r>
              <w:rPr>
                <w:rFonts w:ascii="Arial"/>
                <w:b/>
                <w:spacing w:val="-1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20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FFFF9A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40" w:lineRule="auto" w:before="1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9" w:hRule="exact"/>
        </w:trPr>
        <w:tc>
          <w:tcPr>
            <w:tcW w:w="614" w:type="dxa"/>
            <w:vMerge w:val="restart"/>
            <w:tcBorders>
              <w:top w:val="single" w:sz="14" w:space="0" w:color="CCFFFF"/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Equity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3420" w:type="dxa"/>
            <w:tcBorders>
              <w:top w:val="single" w:sz="1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Paid in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Capital</w:t>
            </w:r>
          </w:p>
        </w:tc>
        <w:tc>
          <w:tcPr>
            <w:tcW w:w="1350" w:type="dxa"/>
            <w:tcBorders>
              <w:top w:val="single" w:sz="1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7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5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63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Retained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Earnings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78" w:hRule="exact"/>
        </w:trPr>
        <w:tc>
          <w:tcPr>
            <w:tcW w:w="6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7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4" w:space="0" w:color="E6E6E6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28" w:hRule="exact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btLr"/>
          </w:tcPr>
          <w:p>
            <w:pPr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6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Equity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388" w:hRule="exact"/>
        </w:trPr>
        <w:tc>
          <w:tcPr>
            <w:tcW w:w="4034" w:type="dxa"/>
            <w:gridSpan w:val="2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Liabilities and</w:t>
            </w:r>
            <w:r>
              <w:rPr>
                <w:rFonts w:ascii="Arial"/>
                <w:b/>
                <w:spacing w:val="-18"/>
                <w:sz w:val="16"/>
              </w:rPr>
              <w:t> </w:t>
            </w:r>
            <w:r>
              <w:rPr>
                <w:rFonts w:ascii="Arial"/>
                <w:b/>
                <w:sz w:val="16"/>
              </w:rPr>
              <w:t>Equity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4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9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0" w:type="dxa"/>
            <w:tcBorders>
              <w:top w:val="single" w:sz="18" w:space="0" w:color="E6E6E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A"/>
          </w:tcPr>
          <w:p>
            <w:pPr>
              <w:pStyle w:val="TableParagraph"/>
              <w:spacing w:line="240" w:lineRule="auto" w:before="84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w w:val="99"/>
                <w:sz w:val="16"/>
              </w:rPr>
              <w:t>$</w:t>
            </w:r>
            <w:r>
              <w:rPr>
                <w:rFonts w:ascii="Arial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15" w:footer="685" w:top="1240" w:bottom="880" w:left="1320" w:right="1240"/>
          <w:pgNumType w:start="1"/>
        </w:sect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27" w:lineRule="exact" w:before="74"/>
        <w:ind w:left="120" w:right="0" w:firstLine="0"/>
        <w:jc w:val="left"/>
      </w:pPr>
      <w:r>
        <w:rPr/>
        <w:t>Preparation of this</w:t>
      </w:r>
      <w:r>
        <w:rPr>
          <w:spacing w:val="-17"/>
        </w:rPr>
        <w:t> </w:t>
      </w:r>
      <w:r>
        <w:rPr/>
        <w:t>Form: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2" w:lineRule="exact" w:before="0" w:after="0"/>
        <w:ind w:left="48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Enter data where appropriate for the current year (right column) and the two years prior the</w:t>
      </w:r>
      <w:r>
        <w:rPr>
          <w:rFonts w:ascii="Arial"/>
          <w:spacing w:val="-25"/>
          <w:sz w:val="20"/>
        </w:rPr>
        <w:t> </w:t>
      </w:r>
      <w:r>
        <w:rPr>
          <w:rFonts w:ascii="Arial"/>
          <w:sz w:val="20"/>
        </w:rPr>
        <w:t>current.</w:t>
      </w: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45" w:lineRule="exact" w:before="0" w:after="0"/>
        <w:ind w:left="480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The term “Equity” is used interchangeably with “Net Worth”, “Fund Balance”,</w:t>
      </w:r>
      <w:r>
        <w:rPr>
          <w:rFonts w:ascii="Arial" w:hAnsi="Arial" w:cs="Arial" w:eastAsia="Arial"/>
          <w:spacing w:val="-2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etc.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4"/>
        <w:gridCol w:w="351"/>
        <w:gridCol w:w="813"/>
        <w:gridCol w:w="253"/>
        <w:gridCol w:w="348"/>
        <w:gridCol w:w="4680"/>
      </w:tblGrid>
      <w:tr>
        <w:trPr>
          <w:trHeight w:val="730" w:hRule="exact"/>
        </w:trPr>
        <w:tc>
          <w:tcPr>
            <w:tcW w:w="9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Balance Sheet</w:t>
            </w:r>
            <w:r>
              <w:rPr>
                <w:rFonts w:ascii="Arial"/>
                <w:b/>
                <w:color w:val="FFFFFF"/>
                <w:spacing w:val="-5"/>
                <w:sz w:val="16"/>
              </w:rPr>
              <w:t> </w:t>
            </w:r>
            <w:r>
              <w:rPr>
                <w:rFonts w:ascii="Arial"/>
                <w:b/>
                <w:color w:val="FFFFFF"/>
                <w:sz w:val="16"/>
              </w:rPr>
              <w:t>Items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Current</w:t>
            </w:r>
            <w:r>
              <w:rPr>
                <w:rFonts w:ascii="Arial"/>
                <w:i/>
                <w:spacing w:val="-11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Current</w:t>
            </w:r>
            <w:r>
              <w:rPr>
                <w:rFonts w:ascii="Arial"/>
                <w:i/>
                <w:spacing w:val="-6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Cash on hand and in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Banks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Includes undeposited cash and demand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deposits.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Accounts</w:t>
            </w:r>
            <w:r>
              <w:rPr>
                <w:rFonts w:ascii="Arial"/>
                <w:spacing w:val="-5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Payable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Amounts due to creditors for goods delivered or</w:t>
            </w:r>
            <w:r>
              <w:rPr>
                <w:rFonts w:ascii="Arial"/>
                <w:spacing w:val="8"/>
                <w:sz w:val="16"/>
              </w:rPr>
              <w:t> </w:t>
            </w:r>
            <w:r>
              <w:rPr>
                <w:rFonts w:ascii="Arial"/>
                <w:sz w:val="16"/>
              </w:rPr>
              <w:t>services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completed.</w:t>
            </w:r>
          </w:p>
        </w:tc>
      </w:tr>
      <w:tr>
        <w:trPr>
          <w:trHeight w:val="731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Time Deposits and Short Term</w:t>
            </w:r>
            <w:r>
              <w:rPr>
                <w:rFonts w:ascii="Arial"/>
                <w:spacing w:val="-6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Investments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3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Funds in savings accounts and certificates of deposit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maturing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within one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year.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Notes</w:t>
            </w:r>
            <w:r>
              <w:rPr>
                <w:rFonts w:ascii="Arial"/>
                <w:spacing w:val="-4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Payable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3" w:right="1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Amounts due to banks and other creditors for which</w:t>
            </w:r>
            <w:r>
              <w:rPr>
                <w:rFonts w:ascii="Arial"/>
                <w:spacing w:val="42"/>
                <w:sz w:val="16"/>
              </w:rPr>
              <w:t> </w:t>
            </w:r>
            <w:r>
              <w:rPr>
                <w:rFonts w:ascii="Arial"/>
                <w:sz w:val="16"/>
              </w:rPr>
              <w:t>a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promissory note has been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signed.</w:t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Accounts</w:t>
            </w:r>
            <w:r>
              <w:rPr>
                <w:rFonts w:ascii="Arial"/>
                <w:spacing w:val="-4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Receivable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Amounts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billed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but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not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paid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spacing w:val="18"/>
                <w:sz w:val="16"/>
              </w:rPr>
              <w:t> </w:t>
            </w:r>
            <w:r>
              <w:rPr>
                <w:rFonts w:ascii="Arial"/>
                <w:sz w:val="16"/>
              </w:rPr>
              <w:t>customers,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users,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etc.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This</w:t>
            </w:r>
            <w:r>
              <w:rPr>
                <w:rFonts w:ascii="Arial"/>
                <w:spacing w:val="19"/>
                <w:sz w:val="16"/>
              </w:rPr>
              <w:t> </w:t>
            </w:r>
            <w:r>
              <w:rPr>
                <w:rFonts w:ascii="Arial"/>
                <w:sz w:val="16"/>
              </w:rPr>
              <w:t>is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the gross amount before any allowances in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item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Current Portion of long-term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debt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Amount due for principal payment during the next 12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months.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Includes any payments which are in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arrears.</w:t>
            </w:r>
          </w:p>
        </w:tc>
      </w:tr>
      <w:tr>
        <w:trPr>
          <w:trHeight w:val="730" w:hRule="exact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1"/>
              <w:ind w:left="103" w:right="5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Allowance for Doubtful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Accounts</w:t>
            </w: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Amounts included in item 3</w:t>
            </w:r>
            <w:r>
              <w:rPr>
                <w:rFonts w:ascii="Arial"/>
                <w:spacing w:val="7"/>
                <w:sz w:val="16"/>
              </w:rPr>
              <w:t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uncollectible.</w:t>
            </w:r>
          </w:p>
        </w:tc>
        <w:tc>
          <w:tcPr>
            <w:tcW w:w="35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are</w:t>
            </w:r>
          </w:p>
        </w:tc>
        <w:tc>
          <w:tcPr>
            <w:tcW w:w="81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estimated</w:t>
            </w:r>
          </w:p>
        </w:tc>
        <w:tc>
          <w:tcPr>
            <w:tcW w:w="253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</w:t>
            </w:r>
          </w:p>
        </w:tc>
        <w:tc>
          <w:tcPr>
            <w:tcW w:w="34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184" w:lineRule="exact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Customer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Deposits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Funds of various kinds held for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others.</w:t>
            </w:r>
          </w:p>
        </w:tc>
      </w:tr>
      <w:tr>
        <w:trPr>
          <w:trHeight w:val="731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Inventories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The total of all materials, supplies and finished goods on</w:t>
            </w:r>
            <w:r>
              <w:rPr>
                <w:rFonts w:ascii="Arial"/>
                <w:spacing w:val="-8"/>
                <w:sz w:val="16"/>
              </w:rPr>
              <w:t> </w:t>
            </w:r>
            <w:r>
              <w:rPr>
                <w:rFonts w:ascii="Arial"/>
                <w:sz w:val="16"/>
              </w:rPr>
              <w:t>hand.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Taxes</w:t>
            </w:r>
            <w:r>
              <w:rPr>
                <w:rFonts w:ascii="Arial"/>
                <w:spacing w:val="-2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Payable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Prepayments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Payments made in advance of receipt of goods or utilization</w:t>
            </w:r>
            <w:r>
              <w:rPr>
                <w:rFonts w:ascii="Arial"/>
                <w:spacing w:val="37"/>
                <w:sz w:val="16"/>
              </w:rPr>
              <w:t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services. Examples: rent,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insurance.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Interest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Payable Interest applicable to principal amount in</w:t>
            </w:r>
            <w:r>
              <w:rPr>
                <w:rFonts w:ascii="Arial" w:hAnsi="Arial" w:cs="Arial" w:eastAsia="Arial"/>
                <w:spacing w:val="2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“Current</w:t>
            </w:r>
            <w:r>
              <w:rPr>
                <w:rFonts w:ascii="Arial" w:hAnsi="Arial" w:cs="Arial" w:eastAsia="Arial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Portion of Long-Term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Debt.</w:t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other current assets not included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above.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other payables and accruals not shown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above.</w:t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Fixed</w:t>
            </w:r>
            <w:r>
              <w:rPr>
                <w:rFonts w:ascii="Arial"/>
                <w:i/>
                <w:spacing w:val="-4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Long-Term</w:t>
            </w:r>
            <w:r>
              <w:rPr>
                <w:rFonts w:ascii="Arial"/>
                <w:i/>
                <w:spacing w:val="-5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Liabilities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land, buildings, furniture and equipment separately</w:t>
            </w:r>
            <w:r>
              <w:rPr>
                <w:rFonts w:ascii="Arial"/>
                <w:spacing w:val="6"/>
                <w:sz w:val="16"/>
              </w:rPr>
              <w:t> </w:t>
            </w:r>
            <w:r>
              <w:rPr>
                <w:rFonts w:ascii="Arial"/>
                <w:sz w:val="16"/>
              </w:rPr>
              <w:t>by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gross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value.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2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Long-term debts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(loans)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total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principal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payments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creditors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mature</w:t>
            </w:r>
            <w:r>
              <w:rPr>
                <w:rFonts w:ascii="Arial"/>
                <w:spacing w:val="34"/>
                <w:sz w:val="16"/>
              </w:rPr>
              <w:t> </w:t>
            </w:r>
            <w:r>
              <w:rPr>
                <w:rFonts w:ascii="Arial"/>
                <w:sz w:val="16"/>
              </w:rPr>
              <w:t>after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one year and are not included in line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21.</w:t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other fixed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assets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all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long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term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liabilities</w:t>
            </w:r>
            <w:r>
              <w:rPr>
                <w:rFonts w:ascii="Arial"/>
                <w:spacing w:val="22"/>
                <w:sz w:val="16"/>
              </w:rPr>
              <w:t> </w:t>
            </w:r>
            <w:r>
              <w:rPr>
                <w:rFonts w:ascii="Arial"/>
                <w:sz w:val="16"/>
              </w:rPr>
              <w:t>such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bonds,</w:t>
            </w:r>
            <w:r>
              <w:rPr>
                <w:rFonts w:ascii="Arial"/>
                <w:spacing w:val="25"/>
                <w:sz w:val="16"/>
              </w:rPr>
              <w:t> </w:t>
            </w:r>
            <w:r>
              <w:rPr>
                <w:rFonts w:ascii="Arial"/>
                <w:sz w:val="16"/>
              </w:rPr>
              <w:t>bank</w:t>
            </w:r>
            <w:r>
              <w:rPr>
                <w:rFonts w:ascii="Arial"/>
                <w:spacing w:val="23"/>
                <w:sz w:val="16"/>
              </w:rPr>
              <w:t> </w:t>
            </w:r>
            <w:r>
              <w:rPr>
                <w:rFonts w:ascii="Arial"/>
                <w:sz w:val="16"/>
              </w:rPr>
              <w:t>loans,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etc. which are due after one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year.</w:t>
            </w:r>
          </w:p>
        </w:tc>
      </w:tr>
      <w:tr>
        <w:trPr>
          <w:trHeight w:val="731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Accumulated</w:t>
            </w:r>
            <w:r>
              <w:rPr>
                <w:rFonts w:ascii="Arial"/>
                <w:spacing w:val="-5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Depreciation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Indicate total accumulated depreciation for items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above.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N/A</w:t>
            </w:r>
          </w:p>
        </w:tc>
      </w:tr>
      <w:tr>
        <w:trPr>
          <w:trHeight w:val="729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Other</w:t>
            </w:r>
            <w:r>
              <w:rPr>
                <w:rFonts w:ascii="Arial"/>
                <w:i/>
                <w:spacing w:val="-3"/>
                <w:sz w:val="16"/>
              </w:rPr>
              <w:t> </w:t>
            </w:r>
            <w:r>
              <w:rPr>
                <w:rFonts w:ascii="Arial"/>
                <w:i/>
                <w:sz w:val="16"/>
              </w:rPr>
              <w:t>Assets</w:t>
            </w:r>
            <w:r>
              <w:rPr>
                <w:rFonts w:ascii="Arial"/>
                <w:sz w:val="16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Equity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730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List other assets not previously accounted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for.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4" w:lineRule="exact" w:before="8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Retained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Earnings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3" w:right="10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Net income which has been accumulated from the </w:t>
            </w:r>
            <w:r>
              <w:rPr>
                <w:rFonts w:ascii="Arial"/>
                <w:spacing w:val="29"/>
                <w:sz w:val="16"/>
              </w:rPr>
              <w:t> </w:t>
            </w:r>
            <w:r>
              <w:rPr>
                <w:rFonts w:ascii="Arial"/>
                <w:sz w:val="16"/>
              </w:rPr>
              <w:t>beginning</w:t>
            </w:r>
            <w:r>
              <w:rPr>
                <w:rFonts w:ascii="Arial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of the operation and not distributed to members, users,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etc.</w:t>
            </w:r>
          </w:p>
        </w:tc>
      </w:tr>
      <w:tr>
        <w:trPr>
          <w:trHeight w:val="731" w:hRule="exact"/>
        </w:trPr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N/A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</w:r>
            <w:r>
              <w:rPr>
                <w:rFonts w:ascii="Arial"/>
                <w:sz w:val="16"/>
                <w:u w:val="single" w:color="000000"/>
              </w:rPr>
              <w:t>Paid in</w:t>
            </w:r>
            <w:r>
              <w:rPr>
                <w:rFonts w:ascii="Arial"/>
                <w:spacing w:val="-3"/>
                <w:sz w:val="16"/>
                <w:u w:val="single" w:color="000000"/>
              </w:rPr>
              <w:t> </w:t>
            </w:r>
            <w:r>
              <w:rPr>
                <w:rFonts w:ascii="Arial"/>
                <w:sz w:val="16"/>
                <w:u w:val="single" w:color="000000"/>
              </w:rPr>
              <w:t>C</w:t>
            </w:r>
            <w:r>
              <w:rPr>
                <w:rFonts w:ascii="Arial"/>
                <w:sz w:val="16"/>
              </w:rPr>
              <w:t>apital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Capital injected by business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owner(s)</w:t>
            </w:r>
          </w:p>
        </w:tc>
      </w:tr>
    </w:tbl>
    <w:sectPr>
      <w:pgSz w:w="12240" w:h="15840"/>
      <w:pgMar w:header="715" w:footer="685" w:top="1240" w:bottom="8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8.140015pt;margin-top:746.733704pt;width:42.85pt;height:10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99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9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of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>
                    <w:rFonts w:ascii="Arial"/>
                    <w:w w:val="99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520012pt;margin-top:35.760021pt;width:469pt;height:26.7pt;mso-position-horizontal-relative:page;mso-position-vertical-relative:page;z-index:-26824" coordorigin="1430,715" coordsize="9380,534">
          <v:group style="position:absolute;left:1445;top:1120;width:9351;height:114" coordorigin="1445,1120" coordsize="9351,114">
            <v:shape style="position:absolute;left:1445;top:1120;width:9351;height:114" coordorigin="1445,1120" coordsize="9351,114" path="m1445,1234l10795,1234,10795,1120,1445,1120,1445,1234xe" filled="true" fillcolor="#000080" stroked="false">
              <v:path arrowok="t"/>
              <v:fill type="solid"/>
            </v:shape>
          </v:group>
          <v:group style="position:absolute;left:1445;top:844;width:104;height:276" coordorigin="1445,844" coordsize="104,276">
            <v:shape style="position:absolute;left:1445;top:844;width:104;height:276" coordorigin="1445,844" coordsize="104,276" path="m1445,1120l1548,1120,1548,844,1445,844,1445,1120xe" filled="true" fillcolor="#000080" stroked="false">
              <v:path arrowok="t"/>
              <v:fill type="solid"/>
            </v:shape>
          </v:group>
          <v:group style="position:absolute;left:1445;top:730;width:9351;height:114" coordorigin="1445,730" coordsize="9351,114">
            <v:shape style="position:absolute;left:1445;top:730;width:9351;height:114" coordorigin="1445,730" coordsize="9351,114" path="m1445,844l10795,844,10795,730,1445,730,1445,844xe" filled="true" fillcolor="#000080" stroked="false">
              <v:path arrowok="t"/>
              <v:fill type="solid"/>
            </v:shape>
          </v:group>
          <v:group style="position:absolute;left:10692;top:844;width:104;height:276" coordorigin="10692,844" coordsize="104,276">
            <v:shape style="position:absolute;left:10692;top:844;width:104;height:276" coordorigin="10692,844" coordsize="104,276" path="m10795,844l10692,844,10692,1120,10795,1120,10795,844xe" filled="true" fillcolor="#000080" stroked="false">
              <v:path arrowok="t"/>
              <v:fill type="solid"/>
            </v:shape>
          </v:group>
          <v:group style="position:absolute;left:1548;top:844;width:9144;height:276" coordorigin="1548,844" coordsize="9144,276">
            <v:shape style="position:absolute;left:1548;top:844;width:9144;height:276" coordorigin="1548,844" coordsize="9144,276" path="m1548,1120l10692,1120,10692,844,1548,844,1548,1120xe" filled="true" fillcolor="#000080" stroked="false">
              <v:path arrowok="t"/>
              <v:fill type="solid"/>
            </v:shape>
          </v:group>
          <v:group style="position:absolute;left:1435;top:725;width:9370;height:2" coordorigin="1435,725" coordsize="9370,2">
            <v:shape style="position:absolute;left:1435;top:725;width:9370;height:2" coordorigin="1435,725" coordsize="9370,0" path="m1435,725l10805,725e" filled="false" stroked="true" strokeweight=".47998pt" strokecolor="#000000">
              <v:path arrowok="t"/>
            </v:shape>
          </v:group>
          <v:group style="position:absolute;left:1440;top:720;width:2;height:525" coordorigin="1440,720" coordsize="2,525">
            <v:shape style="position:absolute;left:1440;top:720;width:2;height:525" coordorigin="1440,720" coordsize="0,525" path="m1440,720l1440,1244e" filled="false" stroked="true" strokeweight=".48pt" strokecolor="#000000">
              <v:path arrowok="t"/>
            </v:shape>
          </v:group>
          <v:group style="position:absolute;left:1435;top:1240;width:9360;height:2" coordorigin="1435,1240" coordsize="9360,2">
            <v:shape style="position:absolute;left:1435;top:1240;width:9360;height:2" coordorigin="1435,1240" coordsize="9360,0" path="m1435,1240l10795,1240e" filled="false" stroked="true" strokeweight=".47998pt" strokecolor="#000000">
              <v:path arrowok="t"/>
            </v:shape>
          </v:group>
          <v:group style="position:absolute;left:10800;top:720;width:2;height:525" coordorigin="10800,720" coordsize="2,525">
            <v:shape style="position:absolute;left:10800;top:720;width:2;height:525" coordorigin="10800,720" coordsize="0,525" path="m10800,720l10800,1244e" filled="false" stroked="true" strokeweight=".47998pt" strokecolor="#000000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42.616222pt;width:86.15pt;height:14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b/>
                    <w:color w:val="FFFFFF"/>
                    <w:spacing w:val="-1"/>
                    <w:sz w:val="24"/>
                  </w:rPr>
                  <w:t>B</w:t>
                </w:r>
                <w:r>
                  <w:rPr>
                    <w:rFonts w:ascii="Arial"/>
                    <w:b/>
                    <w:color w:val="FFFFFF"/>
                    <w:spacing w:val="-1"/>
                    <w:w w:val="99"/>
                    <w:sz w:val="19"/>
                  </w:rPr>
                  <w:t>ALAN</w:t>
                </w:r>
                <w:r>
                  <w:rPr>
                    <w:rFonts w:ascii="Arial"/>
                    <w:b/>
                    <w:color w:val="FFFFFF"/>
                    <w:spacing w:val="1"/>
                    <w:w w:val="99"/>
                    <w:sz w:val="19"/>
                  </w:rPr>
                  <w:t>C</w:t>
                </w:r>
                <w:r>
                  <w:rPr>
                    <w:rFonts w:ascii="Arial"/>
                    <w:b/>
                    <w:color w:val="FFFFFF"/>
                    <w:w w:val="99"/>
                    <w:sz w:val="19"/>
                  </w:rPr>
                  <w:t>E</w:t>
                </w:r>
                <w:r>
                  <w:rPr>
                    <w:rFonts w:ascii="Arial"/>
                    <w:b/>
                    <w:color w:val="FFFFFF"/>
                    <w:sz w:val="19"/>
                  </w:rPr>
                  <w:t> </w:t>
                </w:r>
                <w:r>
                  <w:rPr>
                    <w:rFonts w:ascii="Arial"/>
                    <w:b/>
                    <w:color w:val="FFFFFF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FFFFFF"/>
                    <w:spacing w:val="-1"/>
                    <w:w w:val="99"/>
                    <w:sz w:val="19"/>
                  </w:rPr>
                  <w:t>HEET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80" w:hanging="360"/>
      </w:pPr>
      <w:rPr>
        <w:rFonts w:hint="default" w:ascii="Microsoft Sans Serif" w:hAnsi="Microsoft Sans Serif" w:eastAsia="Microsoft Sans Serif"/>
        <w:color w:val="80000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0" w:hanging="36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 Area Development District</dc:creator>
  <dc:title>Balance Sheet Projections (Fillable)</dc:title>
  <dcterms:created xsi:type="dcterms:W3CDTF">2015-06-04T15:34:30Z</dcterms:created>
  <dcterms:modified xsi:type="dcterms:W3CDTF">2015-06-04T15:34:30Z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2015-06-04T00:00:00Z</vt:filetime>
  </property>
</Properties>
</file>